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5F" w:rsidRPr="004946F4" w:rsidRDefault="00EF111F" w:rsidP="00DE6028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495" cy="1714500"/>
            <wp:effectExtent l="0" t="0" r="0" b="0"/>
            <wp:wrapNone/>
            <wp:docPr id="34" name="Picture 34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CF41DA">
          <w:footerReference w:type="default" r:id="rId9"/>
          <w:pgSz w:w="16838" w:h="11906" w:orient="landscape" w:code="9"/>
          <w:pgMar w:top="425" w:right="851" w:bottom="1418" w:left="851" w:header="510" w:footer="510" w:gutter="0"/>
          <w:cols w:space="708"/>
          <w:docGrid w:linePitch="360"/>
        </w:sectPr>
      </w:pPr>
    </w:p>
    <w:tbl>
      <w:tblPr>
        <w:tblW w:w="13291" w:type="dxa"/>
        <w:tblLook w:val="04A0" w:firstRow="1" w:lastRow="0" w:firstColumn="1" w:lastColumn="0" w:noHBand="0" w:noVBand="1"/>
      </w:tblPr>
      <w:tblGrid>
        <w:gridCol w:w="13291"/>
      </w:tblGrid>
      <w:tr w:rsidR="003A3438" w:rsidTr="00BA4845">
        <w:trPr>
          <w:trHeight w:val="1106"/>
        </w:trPr>
        <w:tc>
          <w:tcPr>
            <w:tcW w:w="13291" w:type="dxa"/>
            <w:shd w:val="clear" w:color="auto" w:fill="auto"/>
            <w:vAlign w:val="bottom"/>
          </w:tcPr>
          <w:p w:rsidR="003A3438" w:rsidRPr="00161AA0" w:rsidRDefault="00EF111F" w:rsidP="00840DF3">
            <w:pPr>
              <w:pStyle w:val="DHHSmainheading"/>
            </w:pPr>
            <w:bookmarkStart w:id="1" w:name="_Toc410762195"/>
            <w:r>
              <w:t>Contraception m</w:t>
            </w:r>
            <w:r w:rsidR="00286307" w:rsidRPr="00286307">
              <w:t>ethods</w:t>
            </w:r>
          </w:p>
        </w:tc>
      </w:tr>
      <w:tr w:rsidR="003A3438" w:rsidTr="00CA6B58">
        <w:trPr>
          <w:trHeight w:hRule="exact" w:val="709"/>
        </w:trPr>
        <w:tc>
          <w:tcPr>
            <w:tcW w:w="13291" w:type="dxa"/>
            <w:shd w:val="clear" w:color="auto" w:fill="auto"/>
            <w:tcMar>
              <w:top w:w="340" w:type="dxa"/>
              <w:bottom w:w="680" w:type="dxa"/>
            </w:tcMar>
          </w:tcPr>
          <w:p w:rsidR="003A3438" w:rsidRDefault="00BB7DBB" w:rsidP="00840DF3">
            <w:pPr>
              <w:pStyle w:val="DHHSmainsubheading"/>
            </w:pPr>
            <w:r w:rsidRPr="00BB7DBB">
              <w:rPr>
                <w:sz w:val="30"/>
                <w:szCs w:val="30"/>
              </w:rPr>
              <w:t xml:space="preserve">Barrier methods of contraception   </w:t>
            </w:r>
          </w:p>
        </w:tc>
      </w:tr>
    </w:tbl>
    <w:p w:rsidR="00E43426" w:rsidRDefault="00E43426" w:rsidP="00E43426">
      <w:pPr>
        <w:rPr>
          <w:rFonts w:ascii="Arial" w:eastAsia="Times" w:hAnsi="Arial"/>
        </w:rPr>
        <w:sectPr w:rsidR="00E43426" w:rsidSect="004367B3">
          <w:type w:val="continuous"/>
          <w:pgSz w:w="16838" w:h="11906" w:orient="landscape"/>
          <w:pgMar w:top="851" w:right="851" w:bottom="851" w:left="851" w:header="567" w:footer="510" w:gutter="0"/>
          <w:cols w:space="720"/>
          <w:docGrid w:linePitch="272"/>
        </w:sectPr>
      </w:pPr>
    </w:p>
    <w:bookmarkEnd w:id="1"/>
    <w:p w:rsidR="00D0539B" w:rsidRDefault="006C42A5" w:rsidP="00D0539B">
      <w:pPr>
        <w:pStyle w:val="DHHStablecaption"/>
      </w:pPr>
      <w:r w:rsidRPr="006C42A5">
        <w:t xml:space="preserve">You </w:t>
      </w:r>
      <w:proofErr w:type="gramStart"/>
      <w:r w:rsidRPr="006C42A5">
        <w:t>have to</w:t>
      </w:r>
      <w:proofErr w:type="gramEnd"/>
      <w:r w:rsidRPr="006C42A5">
        <w:t xml:space="preserve"> remember to use these methods every time you have sex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111"/>
        <w:gridCol w:w="4224"/>
        <w:gridCol w:w="4394"/>
      </w:tblGrid>
      <w:tr w:rsidR="00EF111F" w:rsidTr="009A224D">
        <w:tc>
          <w:tcPr>
            <w:tcW w:w="2155" w:type="dxa"/>
            <w:shd w:val="clear" w:color="auto" w:fill="auto"/>
          </w:tcPr>
          <w:p w:rsidR="00EF111F" w:rsidRPr="009F68D7" w:rsidRDefault="002866D4" w:rsidP="00EF111F">
            <w:pPr>
              <w:pStyle w:val="DHHStablecolhead"/>
              <w:jc w:val="center"/>
              <w:rPr>
                <w:rFonts w:cs="Arial"/>
                <w:b w:val="0"/>
                <w:color w:val="7030A0"/>
              </w:rPr>
            </w:pPr>
            <w:r>
              <w:t>Method</w:t>
            </w:r>
          </w:p>
        </w:tc>
        <w:tc>
          <w:tcPr>
            <w:tcW w:w="4111" w:type="dxa"/>
          </w:tcPr>
          <w:p w:rsidR="00AA069B" w:rsidRDefault="0059591F" w:rsidP="00141A8B">
            <w:pPr>
              <w:pStyle w:val="DHHStablecolhead"/>
            </w:pPr>
            <w:r w:rsidRPr="0059591F">
              <w:t>Male condom</w:t>
            </w:r>
          </w:p>
          <w:p w:rsidR="00EF111F" w:rsidRPr="00EF111F" w:rsidRDefault="00EF111F" w:rsidP="00141A8B">
            <w:pPr>
              <w:pStyle w:val="DHHStablecolhead"/>
            </w:pPr>
            <w:r>
              <w:br/>
            </w:r>
            <w:r w:rsidR="00AA069B">
              <w:rPr>
                <w:noProof/>
                <w:lang w:eastAsia="en-AU"/>
              </w:rPr>
              <w:drawing>
                <wp:inline distT="0" distB="0" distL="0" distR="0" wp14:anchorId="7EFDB09C" wp14:editId="656D4A47">
                  <wp:extent cx="1626384" cy="116058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 Male condo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620" cy="1162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4" w:type="dxa"/>
          </w:tcPr>
          <w:p w:rsidR="00AA069B" w:rsidRDefault="0059591F" w:rsidP="00EF111F">
            <w:pPr>
              <w:pStyle w:val="DHHStablecolhead"/>
            </w:pPr>
            <w:r w:rsidRPr="0059591F">
              <w:t>Female condom</w:t>
            </w:r>
          </w:p>
          <w:p w:rsidR="00AA069B" w:rsidRDefault="00AA069B" w:rsidP="00EF111F">
            <w:pPr>
              <w:pStyle w:val="DHHStablecolhead"/>
            </w:pPr>
          </w:p>
          <w:p w:rsidR="00141A8B" w:rsidRPr="00EF111F" w:rsidRDefault="00AA069B" w:rsidP="00EF111F">
            <w:pPr>
              <w:pStyle w:val="DHHStablecolhead"/>
            </w:pPr>
            <w:r>
              <w:rPr>
                <w:noProof/>
                <w:lang w:eastAsia="en-AU"/>
              </w:rPr>
              <w:drawing>
                <wp:inline distT="0" distB="0" distL="0" distR="0" wp14:anchorId="2CC77E81" wp14:editId="7C4CE63D">
                  <wp:extent cx="1749669" cy="1253735"/>
                  <wp:effectExtent l="0" t="0" r="317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 Barrier method - female condom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660" cy="125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AA069B" w:rsidRDefault="0059591F" w:rsidP="0059591F">
            <w:pPr>
              <w:pStyle w:val="DHHStablecolhead"/>
            </w:pPr>
            <w:r>
              <w:t>Diaphragm (Caya™)</w:t>
            </w:r>
          </w:p>
          <w:p w:rsidR="00EF111F" w:rsidRPr="00EF111F" w:rsidRDefault="00EF111F" w:rsidP="0059591F">
            <w:pPr>
              <w:pStyle w:val="DHHStablecolhead"/>
            </w:pPr>
            <w:r>
              <w:br/>
            </w:r>
            <w:r w:rsidR="00AA069B">
              <w:rPr>
                <w:noProof/>
                <w:lang w:eastAsia="en-AU"/>
              </w:rPr>
              <w:drawing>
                <wp:inline distT="0" distB="0" distL="0" distR="0" wp14:anchorId="2D29A806" wp14:editId="321FBD61">
                  <wp:extent cx="1336431" cy="122078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 Diaphrag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376" cy="122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A8B" w:rsidTr="009A224D">
        <w:tc>
          <w:tcPr>
            <w:tcW w:w="2155" w:type="dxa"/>
            <w:shd w:val="clear" w:color="auto" w:fill="auto"/>
          </w:tcPr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Effectiveness</w:t>
            </w:r>
            <w:r w:rsidR="00001730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4111" w:type="dxa"/>
          </w:tcPr>
          <w:p w:rsidR="006C42A5" w:rsidRDefault="00001730" w:rsidP="006C42A5">
            <w:pPr>
              <w:pStyle w:val="DHHSbullet1"/>
            </w:pPr>
            <w:r>
              <w:t xml:space="preserve">Perfect use: 98% </w:t>
            </w:r>
          </w:p>
          <w:p w:rsidR="00141A8B" w:rsidRPr="009072C0" w:rsidRDefault="006C42A5" w:rsidP="006C42A5">
            <w:pPr>
              <w:pStyle w:val="DHHSbullet1"/>
            </w:pPr>
            <w:r>
              <w:t>Typical use: 82%</w:t>
            </w:r>
          </w:p>
        </w:tc>
        <w:tc>
          <w:tcPr>
            <w:tcW w:w="4224" w:type="dxa"/>
          </w:tcPr>
          <w:p w:rsidR="00580488" w:rsidRPr="00580488" w:rsidRDefault="00580488" w:rsidP="00580488">
            <w:pPr>
              <w:pStyle w:val="DHHSbullet1"/>
            </w:pPr>
            <w:r w:rsidRPr="00580488">
              <w:t>Perfect use:95%</w:t>
            </w:r>
          </w:p>
          <w:p w:rsidR="00141A8B" w:rsidRPr="009072C0" w:rsidRDefault="00580488" w:rsidP="00580488">
            <w:pPr>
              <w:pStyle w:val="DHHSbullet1"/>
            </w:pPr>
            <w:r w:rsidRPr="00580488">
              <w:t>Typical use: 79%</w:t>
            </w:r>
            <w:r w:rsidR="0013772D">
              <w:br/>
            </w:r>
          </w:p>
        </w:tc>
        <w:tc>
          <w:tcPr>
            <w:tcW w:w="439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Perfect use: 86%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Typical use: 82%</w:t>
            </w:r>
          </w:p>
        </w:tc>
      </w:tr>
      <w:tr w:rsidR="00141A8B" w:rsidTr="009A224D">
        <w:tc>
          <w:tcPr>
            <w:tcW w:w="2155" w:type="dxa"/>
            <w:shd w:val="clear" w:color="auto" w:fill="auto"/>
          </w:tcPr>
          <w:p w:rsidR="00141A8B" w:rsidRDefault="00141A8B" w:rsidP="00406283">
            <w:pPr>
              <w:rPr>
                <w:rFonts w:ascii="Arial" w:hAnsi="Arial" w:cs="Arial"/>
                <w:b/>
              </w:rPr>
            </w:pPr>
            <w:r w:rsidRPr="00141A8B">
              <w:rPr>
                <w:rFonts w:ascii="Arial" w:hAnsi="Arial" w:cs="Arial"/>
                <w:b/>
              </w:rPr>
              <w:t>What is it?</w:t>
            </w: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141A8B" w:rsidRPr="009072C0" w:rsidRDefault="006C42A5" w:rsidP="006C42A5">
            <w:pPr>
              <w:pStyle w:val="DHHSbullet1"/>
            </w:pPr>
            <w:r w:rsidRPr="006C42A5">
              <w:t>A latex (or polyurethane) covering that is put over the erect penis, stopping sperm from getting into the vagina</w:t>
            </w:r>
            <w:r w:rsidR="00580488">
              <w:t>.</w:t>
            </w:r>
          </w:p>
        </w:tc>
        <w:tc>
          <w:tcPr>
            <w:tcW w:w="4224" w:type="dxa"/>
          </w:tcPr>
          <w:p w:rsidR="00580488" w:rsidRDefault="00580488" w:rsidP="00580488">
            <w:pPr>
              <w:pStyle w:val="DHHSbullet1"/>
            </w:pPr>
            <w:r>
              <w:t xml:space="preserve">A loose polyurethane pouch that sits in the vagina. </w:t>
            </w:r>
          </w:p>
          <w:p w:rsidR="00580488" w:rsidRDefault="00580488" w:rsidP="00580488">
            <w:pPr>
              <w:pStyle w:val="DHHSbullet1"/>
            </w:pPr>
            <w:r>
              <w:t xml:space="preserve">Has a flexible ring at each end (the inner end is </w:t>
            </w:r>
            <w:proofErr w:type="gramStart"/>
            <w:r>
              <w:t>closed).</w:t>
            </w:r>
            <w:proofErr w:type="gramEnd"/>
          </w:p>
          <w:p w:rsidR="00580488" w:rsidRDefault="00580488" w:rsidP="00580488">
            <w:pPr>
              <w:pStyle w:val="DHHSbullet1"/>
            </w:pPr>
            <w:r>
              <w:t>Stops sperm from getting into the uterus.</w:t>
            </w:r>
          </w:p>
          <w:p w:rsidR="00141A8B" w:rsidRPr="009072C0" w:rsidRDefault="00580488" w:rsidP="00580488">
            <w:pPr>
              <w:pStyle w:val="DHHSbullet1"/>
            </w:pPr>
            <w:r>
              <w:t>Available from Family Planning Victoria [https://www.fpv.org.au/] (by mail order) and some retail outlets and sexual health clinics.</w:t>
            </w:r>
            <w:r w:rsidR="0013772D">
              <w:br/>
            </w:r>
          </w:p>
        </w:tc>
        <w:tc>
          <w:tcPr>
            <w:tcW w:w="439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A soft, shallow, single-size silicone dome that fits in the vagina.</w:t>
            </w:r>
          </w:p>
          <w:p w:rsidR="0013772D" w:rsidRPr="0013772D" w:rsidRDefault="0013772D" w:rsidP="0013772D">
            <w:pPr>
              <w:pStyle w:val="DHHSbullet1"/>
            </w:pPr>
            <w:r w:rsidRPr="0013772D">
              <w:t>Covers the opening to the uterus, stopping sperm from getting through.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Can be bought online, from some family planning clinics and pharmacies.</w:t>
            </w:r>
          </w:p>
        </w:tc>
      </w:tr>
      <w:tr w:rsidR="00141A8B" w:rsidTr="009A224D">
        <w:tc>
          <w:tcPr>
            <w:tcW w:w="2155" w:type="dxa"/>
            <w:shd w:val="clear" w:color="auto" w:fill="auto"/>
          </w:tcPr>
          <w:p w:rsidR="00141A8B" w:rsidRPr="00141A8B" w:rsidRDefault="0059591F" w:rsidP="00406283">
            <w:pPr>
              <w:rPr>
                <w:rFonts w:ascii="Arial" w:hAnsi="Arial" w:cs="Arial"/>
                <w:b/>
              </w:rPr>
            </w:pPr>
            <w:r w:rsidRPr="0059591F">
              <w:rPr>
                <w:rFonts w:ascii="Arial" w:hAnsi="Arial" w:cs="Arial"/>
                <w:b/>
              </w:rPr>
              <w:lastRenderedPageBreak/>
              <w:t>How often do you use it?</w:t>
            </w:r>
          </w:p>
        </w:tc>
        <w:tc>
          <w:tcPr>
            <w:tcW w:w="4111" w:type="dxa"/>
          </w:tcPr>
          <w:p w:rsidR="006C42A5" w:rsidRDefault="006C42A5" w:rsidP="006C42A5">
            <w:pPr>
              <w:pStyle w:val="DHHSbullet1"/>
            </w:pPr>
            <w:r>
              <w:t>Put on every time before intercourse or before any contact between the penis and the vagina</w:t>
            </w:r>
            <w:r w:rsidR="00580488">
              <w:t>.</w:t>
            </w:r>
          </w:p>
          <w:p w:rsidR="00141A8B" w:rsidRPr="009072C0" w:rsidRDefault="006C42A5" w:rsidP="006C42A5">
            <w:pPr>
              <w:pStyle w:val="DHHSbullet1"/>
            </w:pPr>
            <w:r>
              <w:t>One use only</w:t>
            </w:r>
            <w:r w:rsidR="00580488">
              <w:t>.</w:t>
            </w:r>
          </w:p>
        </w:tc>
        <w:tc>
          <w:tcPr>
            <w:tcW w:w="422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 xml:space="preserve">Put </w:t>
            </w:r>
            <w:r w:rsidR="00072286">
              <w:t>in</w:t>
            </w:r>
            <w:r w:rsidR="00072286" w:rsidRPr="0013772D">
              <w:t xml:space="preserve"> </w:t>
            </w:r>
            <w:r w:rsidRPr="0013772D">
              <w:t>every time before intercourse or before any contact between the penis and the vagina</w:t>
            </w:r>
            <w:r>
              <w:t>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One use only</w:t>
            </w:r>
            <w:r>
              <w:t>.</w:t>
            </w:r>
            <w:r>
              <w:br/>
            </w:r>
          </w:p>
        </w:tc>
        <w:tc>
          <w:tcPr>
            <w:tcW w:w="4394" w:type="dxa"/>
          </w:tcPr>
          <w:p w:rsidR="00141A8B" w:rsidRPr="0013772D" w:rsidRDefault="0013772D" w:rsidP="0013772D">
            <w:pPr>
              <w:pStyle w:val="DHHSbullet1"/>
            </w:pPr>
            <w:r w:rsidRPr="0013772D">
              <w:t>Should be inserted before sex and left in for six hours afterwards.</w:t>
            </w:r>
          </w:p>
        </w:tc>
      </w:tr>
      <w:tr w:rsidR="00141A8B" w:rsidTr="009A224D">
        <w:tc>
          <w:tcPr>
            <w:tcW w:w="2155" w:type="dxa"/>
            <w:shd w:val="clear" w:color="auto" w:fill="auto"/>
          </w:tcPr>
          <w:p w:rsidR="00141A8B" w:rsidRPr="00141A8B" w:rsidRDefault="0059591F" w:rsidP="00406283">
            <w:pPr>
              <w:rPr>
                <w:rFonts w:ascii="Arial" w:hAnsi="Arial" w:cs="Arial"/>
                <w:b/>
              </w:rPr>
            </w:pPr>
            <w:r w:rsidRPr="0059591F">
              <w:rPr>
                <w:rFonts w:ascii="Arial" w:hAnsi="Arial" w:cs="Arial"/>
                <w:b/>
              </w:rPr>
              <w:t>Benefits</w:t>
            </w:r>
          </w:p>
        </w:tc>
        <w:tc>
          <w:tcPr>
            <w:tcW w:w="4111" w:type="dxa"/>
          </w:tcPr>
          <w:p w:rsidR="00141A8B" w:rsidRPr="009072C0" w:rsidRDefault="006C42A5" w:rsidP="006C42A5">
            <w:pPr>
              <w:pStyle w:val="DHHSbullet1"/>
              <w:rPr>
                <w:b/>
              </w:rPr>
            </w:pPr>
            <w:r w:rsidRPr="006C42A5">
              <w:t>Provides the best protection against sexually transmissible infections</w:t>
            </w:r>
            <w:r w:rsidR="00580488">
              <w:t>.</w:t>
            </w:r>
          </w:p>
        </w:tc>
        <w:tc>
          <w:tcPr>
            <w:tcW w:w="422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Can be put in several hours before sex</w:t>
            </w:r>
            <w:r>
              <w:t>.</w:t>
            </w:r>
          </w:p>
          <w:p w:rsidR="0013772D" w:rsidRPr="0013772D" w:rsidRDefault="0013772D" w:rsidP="0013772D">
            <w:pPr>
              <w:pStyle w:val="DHHSbullet1"/>
            </w:pPr>
            <w:r w:rsidRPr="0013772D">
              <w:t>Stronger than the male latex condom</w:t>
            </w:r>
            <w:r>
              <w:t>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Protects against sexually transmissible infections</w:t>
            </w:r>
            <w:r>
              <w:t>.</w:t>
            </w:r>
            <w:r>
              <w:br/>
            </w:r>
          </w:p>
        </w:tc>
        <w:tc>
          <w:tcPr>
            <w:tcW w:w="439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Re-useable</w:t>
            </w:r>
            <w:r>
              <w:t>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Should be replaced after two years</w:t>
            </w:r>
            <w:r>
              <w:t>.</w:t>
            </w:r>
          </w:p>
        </w:tc>
      </w:tr>
      <w:tr w:rsidR="00141A8B" w:rsidTr="009A224D">
        <w:tc>
          <w:tcPr>
            <w:tcW w:w="2155" w:type="dxa"/>
            <w:shd w:val="clear" w:color="auto" w:fill="auto"/>
          </w:tcPr>
          <w:p w:rsidR="00141A8B" w:rsidRDefault="0059591F" w:rsidP="00406283">
            <w:pPr>
              <w:rPr>
                <w:rFonts w:ascii="Arial" w:hAnsi="Arial" w:cs="Arial"/>
                <w:b/>
              </w:rPr>
            </w:pPr>
            <w:r w:rsidRPr="0059591F">
              <w:rPr>
                <w:rFonts w:ascii="Arial" w:hAnsi="Arial" w:cs="Arial"/>
                <w:b/>
              </w:rPr>
              <w:t xml:space="preserve">Other considerations </w:t>
            </w: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Default="00141A8B" w:rsidP="00406283">
            <w:pPr>
              <w:rPr>
                <w:rFonts w:ascii="Arial" w:hAnsi="Arial" w:cs="Arial"/>
                <w:b/>
              </w:rPr>
            </w:pPr>
          </w:p>
          <w:p w:rsidR="00141A8B" w:rsidRPr="00141A8B" w:rsidRDefault="00141A8B" w:rsidP="00406283">
            <w:pPr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</w:tcPr>
          <w:p w:rsidR="006C42A5" w:rsidRDefault="006C42A5" w:rsidP="006C42A5">
            <w:pPr>
              <w:pStyle w:val="DHHSbullet1"/>
            </w:pPr>
            <w:r>
              <w:t>Remove carefully afterwards</w:t>
            </w:r>
            <w:r w:rsidR="00580488">
              <w:t>.</w:t>
            </w:r>
          </w:p>
          <w:p w:rsidR="006C42A5" w:rsidRDefault="006C42A5" w:rsidP="006C42A5">
            <w:pPr>
              <w:pStyle w:val="DHHSbullet1"/>
            </w:pPr>
            <w:r>
              <w:t>Easily available from:</w:t>
            </w:r>
          </w:p>
          <w:p w:rsidR="006C42A5" w:rsidRDefault="006C42A5" w:rsidP="006C42A5">
            <w:pPr>
              <w:pStyle w:val="DHHSbullet2"/>
            </w:pPr>
            <w:r>
              <w:t xml:space="preserve">pharmacies </w:t>
            </w:r>
          </w:p>
          <w:p w:rsidR="006C42A5" w:rsidRDefault="006C42A5" w:rsidP="006C42A5">
            <w:pPr>
              <w:pStyle w:val="DHHSbullet2"/>
            </w:pPr>
            <w:r>
              <w:t>supermarkets</w:t>
            </w:r>
          </w:p>
          <w:p w:rsidR="006C42A5" w:rsidRDefault="006C42A5" w:rsidP="006C42A5">
            <w:pPr>
              <w:pStyle w:val="DHHSbullet2"/>
            </w:pPr>
            <w:r>
              <w:t>sexual health clinics</w:t>
            </w:r>
          </w:p>
          <w:p w:rsidR="00141A8B" w:rsidRPr="009072C0" w:rsidRDefault="006C42A5" w:rsidP="006C42A5">
            <w:pPr>
              <w:pStyle w:val="DHHSbullet2"/>
            </w:pPr>
            <w:r>
              <w:t>vending machines (in some locations)</w:t>
            </w:r>
            <w:r w:rsidR="00580488">
              <w:t>.</w:t>
            </w:r>
            <w:r w:rsidR="0013772D">
              <w:br/>
            </w:r>
          </w:p>
        </w:tc>
        <w:tc>
          <w:tcPr>
            <w:tcW w:w="422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May take some practice to use correctly.</w:t>
            </w:r>
          </w:p>
          <w:p w:rsidR="0013772D" w:rsidRPr="0013772D" w:rsidRDefault="0013772D" w:rsidP="0013772D">
            <w:pPr>
              <w:pStyle w:val="DHHSbullet1"/>
            </w:pPr>
            <w:r w:rsidRPr="0013772D">
              <w:t>Remove carefully afterwards.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Slightly more expensive and less readily available than male condoms.</w:t>
            </w:r>
          </w:p>
        </w:tc>
        <w:tc>
          <w:tcPr>
            <w:tcW w:w="4394" w:type="dxa"/>
          </w:tcPr>
          <w:p w:rsidR="0013772D" w:rsidRPr="0013772D" w:rsidRDefault="0013772D" w:rsidP="0013772D">
            <w:pPr>
              <w:pStyle w:val="DHHSbullet1"/>
            </w:pPr>
            <w:r w:rsidRPr="0013772D">
              <w:t>The single size diaphragm fits most women</w:t>
            </w:r>
            <w:r>
              <w:t>.</w:t>
            </w:r>
          </w:p>
          <w:p w:rsidR="00141A8B" w:rsidRPr="009072C0" w:rsidRDefault="0013772D" w:rsidP="0013772D">
            <w:pPr>
              <w:pStyle w:val="DHHSbullet1"/>
            </w:pPr>
            <w:r w:rsidRPr="0013772D">
              <w:t>See a doctor or nurse to check that the diaphragm is a good fit for you</w:t>
            </w:r>
            <w:r>
              <w:t>.</w:t>
            </w:r>
          </w:p>
        </w:tc>
      </w:tr>
    </w:tbl>
    <w:p w:rsidR="00001730" w:rsidRDefault="006C42A5" w:rsidP="00FF6D9D">
      <w:pPr>
        <w:pStyle w:val="DHHSbody"/>
      </w:pPr>
      <w:r w:rsidRPr="006C42A5">
        <w:t>* Perfect use = when used exactly as intended</w:t>
      </w:r>
    </w:p>
    <w:p w:rsidR="00B2752E" w:rsidRDefault="00001730" w:rsidP="00FF6D9D">
      <w:pPr>
        <w:pStyle w:val="DHHSbody"/>
      </w:pPr>
      <w:r>
        <w:t>* T</w:t>
      </w:r>
      <w:r w:rsidR="006C42A5" w:rsidRPr="006C42A5">
        <w:t>ypical use = when not used perfectly</w:t>
      </w:r>
      <w:r w:rsidR="001361FE">
        <w:t>.</w:t>
      </w:r>
    </w:p>
    <w:p w:rsidR="00EF111F" w:rsidRDefault="00EF111F" w:rsidP="00FF6D9D">
      <w:pPr>
        <w:pStyle w:val="DHHSbody"/>
      </w:pPr>
    </w:p>
    <w:p w:rsidR="00141A8B" w:rsidRDefault="00141A8B" w:rsidP="00FF6D9D">
      <w:pPr>
        <w:pStyle w:val="DHHSbody"/>
      </w:pPr>
    </w:p>
    <w:p w:rsidR="00141A8B" w:rsidRDefault="00141A8B" w:rsidP="00FF6D9D">
      <w:pPr>
        <w:pStyle w:val="DHHSbody"/>
      </w:pPr>
    </w:p>
    <w:p w:rsidR="00141A8B" w:rsidRDefault="00141A8B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Default="00EF111F" w:rsidP="00FF6D9D">
      <w:pPr>
        <w:pStyle w:val="DHHSbody"/>
      </w:pPr>
    </w:p>
    <w:p w:rsidR="00EF111F" w:rsidRPr="005E673F" w:rsidRDefault="00EF111F" w:rsidP="00EF111F">
      <w:pPr>
        <w:pStyle w:val="DHHSbody"/>
        <w:rPr>
          <w:sz w:val="18"/>
          <w:szCs w:val="18"/>
        </w:rPr>
      </w:pPr>
      <w:r w:rsidRPr="00B22335">
        <w:rPr>
          <w:sz w:val="18"/>
          <w:szCs w:val="18"/>
        </w:rPr>
        <w:t>Authorised and published by the Victorian Governmen</w:t>
      </w:r>
      <w:r>
        <w:rPr>
          <w:sz w:val="18"/>
          <w:szCs w:val="18"/>
        </w:rPr>
        <w:t xml:space="preserve">t, 1 Treasury Place, Melbourne. </w:t>
      </w:r>
      <w:r w:rsidRPr="00B22335">
        <w:rPr>
          <w:sz w:val="18"/>
          <w:szCs w:val="18"/>
        </w:rPr>
        <w:t>© State of Victoria, Department of Health and Human Services, January 2019.</w:t>
      </w:r>
      <w:r w:rsidRPr="00B22335">
        <w:rPr>
          <w:sz w:val="18"/>
          <w:szCs w:val="18"/>
        </w:rPr>
        <w:br/>
        <w:t>Available at &lt;</w:t>
      </w:r>
      <w:hyperlink r:id="rId13" w:history="1">
        <w:r w:rsidRPr="00B22335">
          <w:rPr>
            <w:rStyle w:val="Hyperlink"/>
            <w:sz w:val="18"/>
            <w:szCs w:val="18"/>
          </w:rPr>
          <w:t>http://healthtranslations.vic.gov.au/</w:t>
        </w:r>
      </w:hyperlink>
      <w:r w:rsidRPr="00B22335">
        <w:rPr>
          <w:sz w:val="18"/>
          <w:szCs w:val="18"/>
        </w:rPr>
        <w:t>&gt;</w:t>
      </w:r>
    </w:p>
    <w:p w:rsidR="00EF111F" w:rsidRPr="00906490" w:rsidRDefault="00EF111F" w:rsidP="00FF6D9D">
      <w:pPr>
        <w:pStyle w:val="DHHSbody"/>
      </w:pPr>
    </w:p>
    <w:sectPr w:rsidR="00EF111F" w:rsidRPr="00906490" w:rsidSect="00E45931">
      <w:headerReference w:type="default" r:id="rId14"/>
      <w:footerReference w:type="default" r:id="rId15"/>
      <w:type w:val="continuous"/>
      <w:pgSz w:w="16838" w:h="11906" w:orient="landscape" w:code="9"/>
      <w:pgMar w:top="1134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D7E" w:rsidRDefault="00755D7E">
      <w:r>
        <w:separator/>
      </w:r>
    </w:p>
  </w:endnote>
  <w:endnote w:type="continuationSeparator" w:id="0">
    <w:p w:rsidR="00755D7E" w:rsidRDefault="0075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F65AA9" w:rsidRDefault="00EF111F" w:rsidP="007034E7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1" locked="1" layoutInCell="0" allowOverlap="1">
          <wp:simplePos x="0" y="0"/>
          <wp:positionH relativeFrom="page">
            <wp:posOffset>0</wp:posOffset>
          </wp:positionH>
          <wp:positionV relativeFrom="page">
            <wp:posOffset>6769100</wp:posOffset>
          </wp:positionV>
          <wp:extent cx="10691495" cy="791210"/>
          <wp:effectExtent l="0" t="0" r="0" b="8890"/>
          <wp:wrapNone/>
          <wp:docPr id="13" name="Picture 13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A11421" w:rsidRDefault="007F3E81" w:rsidP="007034E7">
    <w:pPr>
      <w:pStyle w:val="DHHSfooter"/>
    </w:pPr>
    <w:r>
      <w:t>Contraception m</w:t>
    </w:r>
    <w:r w:rsidR="00EF111F" w:rsidRPr="00EF111F">
      <w:t>ethods</w:t>
    </w:r>
    <w:r w:rsidR="00EF111F">
      <w:t xml:space="preserve"> - </w:t>
    </w:r>
    <w:r w:rsidR="00BB7DBB" w:rsidRPr="00BB7DBB">
      <w:t xml:space="preserve">Barrier methods of contraception   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2866D4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D7E" w:rsidRDefault="00755D7E" w:rsidP="002862F1">
      <w:pPr>
        <w:spacing w:before="120"/>
      </w:pPr>
      <w:r>
        <w:separator/>
      </w:r>
    </w:p>
  </w:footnote>
  <w:footnote w:type="continuationSeparator" w:id="0">
    <w:p w:rsidR="00755D7E" w:rsidRDefault="0075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0A4" w:rsidRPr="008D2F4B" w:rsidRDefault="009D70A4" w:rsidP="008D2F4B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24D82610"/>
    <w:multiLevelType w:val="hybridMultilevel"/>
    <w:tmpl w:val="E5D23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96387"/>
    <w:multiLevelType w:val="hybridMultilevel"/>
    <w:tmpl w:val="B93CBC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70F66"/>
    <w:multiLevelType w:val="multilevel"/>
    <w:tmpl w:val="4B4E7622"/>
    <w:numStyleLink w:val="ZZNumbers"/>
  </w:abstractNum>
  <w:abstractNum w:abstractNumId="6" w15:restartNumberingAfterBreak="0">
    <w:nsid w:val="39203AD8"/>
    <w:multiLevelType w:val="hybridMultilevel"/>
    <w:tmpl w:val="0F465C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47C223CC"/>
    <w:multiLevelType w:val="hybridMultilevel"/>
    <w:tmpl w:val="514EB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90270DF"/>
    <w:multiLevelType w:val="hybridMultilevel"/>
    <w:tmpl w:val="BD46DF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AEA"/>
    <w:multiLevelType w:val="hybridMultilevel"/>
    <w:tmpl w:val="C2CC9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C46899"/>
    <w:multiLevelType w:val="hybridMultilevel"/>
    <w:tmpl w:val="1A684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1"/>
  </w:num>
  <w:num w:numId="17">
    <w:abstractNumId w:val="12"/>
  </w:num>
  <w:num w:numId="18">
    <w:abstractNumId w:val="8"/>
  </w:num>
  <w:num w:numId="19">
    <w:abstractNumId w:val="10"/>
  </w:num>
  <w:num w:numId="20">
    <w:abstractNumId w:val="4"/>
  </w:num>
  <w:num w:numId="21">
    <w:abstractNumId w:val="3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7"/>
    <w:rsid w:val="00001730"/>
    <w:rsid w:val="000072B6"/>
    <w:rsid w:val="0001021B"/>
    <w:rsid w:val="00011D89"/>
    <w:rsid w:val="00024D89"/>
    <w:rsid w:val="00033D81"/>
    <w:rsid w:val="00041BF0"/>
    <w:rsid w:val="0004326C"/>
    <w:rsid w:val="0004536B"/>
    <w:rsid w:val="00046B68"/>
    <w:rsid w:val="000527DD"/>
    <w:rsid w:val="000578B2"/>
    <w:rsid w:val="00060959"/>
    <w:rsid w:val="00064864"/>
    <w:rsid w:val="000663CD"/>
    <w:rsid w:val="000669AD"/>
    <w:rsid w:val="00072286"/>
    <w:rsid w:val="00074219"/>
    <w:rsid w:val="00074ED5"/>
    <w:rsid w:val="0008494B"/>
    <w:rsid w:val="00094DA3"/>
    <w:rsid w:val="00096CD1"/>
    <w:rsid w:val="000A012C"/>
    <w:rsid w:val="000A0EB9"/>
    <w:rsid w:val="000A186C"/>
    <w:rsid w:val="000A402B"/>
    <w:rsid w:val="000A5C2F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05E4"/>
    <w:rsid w:val="0010392D"/>
    <w:rsid w:val="00104FE3"/>
    <w:rsid w:val="00120399"/>
    <w:rsid w:val="00120BD3"/>
    <w:rsid w:val="00122FEA"/>
    <w:rsid w:val="001232BD"/>
    <w:rsid w:val="00124ED5"/>
    <w:rsid w:val="001361FE"/>
    <w:rsid w:val="0013772D"/>
    <w:rsid w:val="00141A8B"/>
    <w:rsid w:val="001447B3"/>
    <w:rsid w:val="00152073"/>
    <w:rsid w:val="00161939"/>
    <w:rsid w:val="00161AA0"/>
    <w:rsid w:val="00162093"/>
    <w:rsid w:val="001645B1"/>
    <w:rsid w:val="001666C9"/>
    <w:rsid w:val="001771DD"/>
    <w:rsid w:val="00177995"/>
    <w:rsid w:val="00177A8C"/>
    <w:rsid w:val="00186B33"/>
    <w:rsid w:val="00187F13"/>
    <w:rsid w:val="00192F9D"/>
    <w:rsid w:val="00196EB8"/>
    <w:rsid w:val="001979FF"/>
    <w:rsid w:val="00197B17"/>
    <w:rsid w:val="001A3ACE"/>
    <w:rsid w:val="001C2A72"/>
    <w:rsid w:val="001D0B75"/>
    <w:rsid w:val="001D3C09"/>
    <w:rsid w:val="001D44E8"/>
    <w:rsid w:val="001D60EC"/>
    <w:rsid w:val="001E44DF"/>
    <w:rsid w:val="001E68A5"/>
    <w:rsid w:val="001F3826"/>
    <w:rsid w:val="001F6E46"/>
    <w:rsid w:val="001F7C91"/>
    <w:rsid w:val="00206463"/>
    <w:rsid w:val="00206F2F"/>
    <w:rsid w:val="0021053D"/>
    <w:rsid w:val="00210A92"/>
    <w:rsid w:val="002131E2"/>
    <w:rsid w:val="00216C03"/>
    <w:rsid w:val="00220C04"/>
    <w:rsid w:val="0022701F"/>
    <w:rsid w:val="002333F5"/>
    <w:rsid w:val="002432E1"/>
    <w:rsid w:val="00244DBA"/>
    <w:rsid w:val="00246C5E"/>
    <w:rsid w:val="00251343"/>
    <w:rsid w:val="00254EE2"/>
    <w:rsid w:val="00254F58"/>
    <w:rsid w:val="00257984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86307"/>
    <w:rsid w:val="002866D4"/>
    <w:rsid w:val="00291373"/>
    <w:rsid w:val="0029597D"/>
    <w:rsid w:val="002962C3"/>
    <w:rsid w:val="002A483C"/>
    <w:rsid w:val="002B1729"/>
    <w:rsid w:val="002B4DD4"/>
    <w:rsid w:val="002B5277"/>
    <w:rsid w:val="002B77C1"/>
    <w:rsid w:val="002C2728"/>
    <w:rsid w:val="002D5006"/>
    <w:rsid w:val="002E01D0"/>
    <w:rsid w:val="002E161D"/>
    <w:rsid w:val="002E6C95"/>
    <w:rsid w:val="002E7C36"/>
    <w:rsid w:val="002F5F31"/>
    <w:rsid w:val="00302216"/>
    <w:rsid w:val="00303E53"/>
    <w:rsid w:val="003041C3"/>
    <w:rsid w:val="00305D25"/>
    <w:rsid w:val="00306E5F"/>
    <w:rsid w:val="00307E14"/>
    <w:rsid w:val="00314054"/>
    <w:rsid w:val="00316F27"/>
    <w:rsid w:val="00327870"/>
    <w:rsid w:val="0033259D"/>
    <w:rsid w:val="003406C6"/>
    <w:rsid w:val="003418CC"/>
    <w:rsid w:val="00344EBE"/>
    <w:rsid w:val="003459BD"/>
    <w:rsid w:val="00350D38"/>
    <w:rsid w:val="0036022F"/>
    <w:rsid w:val="003613F9"/>
    <w:rsid w:val="0037290E"/>
    <w:rsid w:val="003744CF"/>
    <w:rsid w:val="00374717"/>
    <w:rsid w:val="0037676C"/>
    <w:rsid w:val="003829E5"/>
    <w:rsid w:val="003956CC"/>
    <w:rsid w:val="00395C9A"/>
    <w:rsid w:val="003A3438"/>
    <w:rsid w:val="003A6B67"/>
    <w:rsid w:val="003B0286"/>
    <w:rsid w:val="003B15E6"/>
    <w:rsid w:val="003C2045"/>
    <w:rsid w:val="003C2440"/>
    <w:rsid w:val="003C43A1"/>
    <w:rsid w:val="003C4FC0"/>
    <w:rsid w:val="003C55F4"/>
    <w:rsid w:val="003C7A3F"/>
    <w:rsid w:val="003D3E8F"/>
    <w:rsid w:val="003D6475"/>
    <w:rsid w:val="003E2E5F"/>
    <w:rsid w:val="003F0445"/>
    <w:rsid w:val="003F0CF0"/>
    <w:rsid w:val="003F2758"/>
    <w:rsid w:val="003F3289"/>
    <w:rsid w:val="00401FCF"/>
    <w:rsid w:val="00406285"/>
    <w:rsid w:val="004148F9"/>
    <w:rsid w:val="0042084E"/>
    <w:rsid w:val="0042175D"/>
    <w:rsid w:val="00421EEF"/>
    <w:rsid w:val="00424D65"/>
    <w:rsid w:val="00431D76"/>
    <w:rsid w:val="004367B3"/>
    <w:rsid w:val="00442C6C"/>
    <w:rsid w:val="00443CBE"/>
    <w:rsid w:val="00443E8A"/>
    <w:rsid w:val="004441BC"/>
    <w:rsid w:val="0045230A"/>
    <w:rsid w:val="00457337"/>
    <w:rsid w:val="0047372D"/>
    <w:rsid w:val="004743DD"/>
    <w:rsid w:val="00474CEA"/>
    <w:rsid w:val="00483968"/>
    <w:rsid w:val="0048442F"/>
    <w:rsid w:val="00484F86"/>
    <w:rsid w:val="00490746"/>
    <w:rsid w:val="00490852"/>
    <w:rsid w:val="00492D85"/>
    <w:rsid w:val="00492F30"/>
    <w:rsid w:val="004946F4"/>
    <w:rsid w:val="0049487E"/>
    <w:rsid w:val="004A160D"/>
    <w:rsid w:val="004A3E81"/>
    <w:rsid w:val="004A5C62"/>
    <w:rsid w:val="004A707D"/>
    <w:rsid w:val="004C1FEB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27C0"/>
    <w:rsid w:val="00503DC6"/>
    <w:rsid w:val="00506F5D"/>
    <w:rsid w:val="005126D0"/>
    <w:rsid w:val="0051568D"/>
    <w:rsid w:val="00526C15"/>
    <w:rsid w:val="005273B4"/>
    <w:rsid w:val="00536499"/>
    <w:rsid w:val="00543903"/>
    <w:rsid w:val="00547A95"/>
    <w:rsid w:val="00557E03"/>
    <w:rsid w:val="00572031"/>
    <w:rsid w:val="00576E84"/>
    <w:rsid w:val="00580488"/>
    <w:rsid w:val="00582B8C"/>
    <w:rsid w:val="0058757E"/>
    <w:rsid w:val="0059591F"/>
    <w:rsid w:val="00596A4B"/>
    <w:rsid w:val="00597507"/>
    <w:rsid w:val="005A5529"/>
    <w:rsid w:val="005B21B6"/>
    <w:rsid w:val="005B27DF"/>
    <w:rsid w:val="005B3A08"/>
    <w:rsid w:val="005B7A63"/>
    <w:rsid w:val="005C0955"/>
    <w:rsid w:val="005C49DA"/>
    <w:rsid w:val="005C50F3"/>
    <w:rsid w:val="005C5D91"/>
    <w:rsid w:val="005C77D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05F1B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18C2"/>
    <w:rsid w:val="006B077C"/>
    <w:rsid w:val="006C377C"/>
    <w:rsid w:val="006C42A5"/>
    <w:rsid w:val="006D2A3F"/>
    <w:rsid w:val="006E138B"/>
    <w:rsid w:val="006F1FDC"/>
    <w:rsid w:val="007013EF"/>
    <w:rsid w:val="007034E7"/>
    <w:rsid w:val="00705AA4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2B28"/>
    <w:rsid w:val="00754E36"/>
    <w:rsid w:val="00755D7E"/>
    <w:rsid w:val="00763139"/>
    <w:rsid w:val="00770F37"/>
    <w:rsid w:val="00772D5E"/>
    <w:rsid w:val="00776928"/>
    <w:rsid w:val="00786F16"/>
    <w:rsid w:val="00796E20"/>
    <w:rsid w:val="00797C32"/>
    <w:rsid w:val="007B0914"/>
    <w:rsid w:val="007B1374"/>
    <w:rsid w:val="007B48EA"/>
    <w:rsid w:val="007B589F"/>
    <w:rsid w:val="007B6186"/>
    <w:rsid w:val="007C14D9"/>
    <w:rsid w:val="007C7301"/>
    <w:rsid w:val="007C7859"/>
    <w:rsid w:val="007D2BDE"/>
    <w:rsid w:val="007D2FB6"/>
    <w:rsid w:val="007E0DE2"/>
    <w:rsid w:val="007F31B6"/>
    <w:rsid w:val="007F3E81"/>
    <w:rsid w:val="007F546C"/>
    <w:rsid w:val="007F665E"/>
    <w:rsid w:val="00800412"/>
    <w:rsid w:val="00804B9C"/>
    <w:rsid w:val="0080587B"/>
    <w:rsid w:val="00806468"/>
    <w:rsid w:val="008155F0"/>
    <w:rsid w:val="00816735"/>
    <w:rsid w:val="00820141"/>
    <w:rsid w:val="008204A8"/>
    <w:rsid w:val="00820E0C"/>
    <w:rsid w:val="008338A2"/>
    <w:rsid w:val="00840DF3"/>
    <w:rsid w:val="0084417C"/>
    <w:rsid w:val="00853EE4"/>
    <w:rsid w:val="00855535"/>
    <w:rsid w:val="00856385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B2EE4"/>
    <w:rsid w:val="008B2F9E"/>
    <w:rsid w:val="008B4B96"/>
    <w:rsid w:val="008B4D3D"/>
    <w:rsid w:val="008B57C7"/>
    <w:rsid w:val="008C2F92"/>
    <w:rsid w:val="008C65EB"/>
    <w:rsid w:val="008D2F4B"/>
    <w:rsid w:val="008D4236"/>
    <w:rsid w:val="008D462F"/>
    <w:rsid w:val="008E4376"/>
    <w:rsid w:val="008E7A0A"/>
    <w:rsid w:val="008F26A3"/>
    <w:rsid w:val="00900719"/>
    <w:rsid w:val="009017A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645E"/>
    <w:rsid w:val="00961400"/>
    <w:rsid w:val="00963646"/>
    <w:rsid w:val="009853E1"/>
    <w:rsid w:val="00986E6B"/>
    <w:rsid w:val="00991769"/>
    <w:rsid w:val="00994386"/>
    <w:rsid w:val="009A13D8"/>
    <w:rsid w:val="009A224D"/>
    <w:rsid w:val="009A279E"/>
    <w:rsid w:val="009B0A6F"/>
    <w:rsid w:val="009B59E9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787"/>
    <w:rsid w:val="00A62D44"/>
    <w:rsid w:val="00A67263"/>
    <w:rsid w:val="00A7161C"/>
    <w:rsid w:val="00A77AA3"/>
    <w:rsid w:val="00A872E5"/>
    <w:rsid w:val="00A96E65"/>
    <w:rsid w:val="00A97C72"/>
    <w:rsid w:val="00AA069B"/>
    <w:rsid w:val="00AA325B"/>
    <w:rsid w:val="00AA5797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E126A"/>
    <w:rsid w:val="00AE3005"/>
    <w:rsid w:val="00AE59A0"/>
    <w:rsid w:val="00AF0C57"/>
    <w:rsid w:val="00AF26F3"/>
    <w:rsid w:val="00B00672"/>
    <w:rsid w:val="00B01B4D"/>
    <w:rsid w:val="00B033C5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40670"/>
    <w:rsid w:val="00B431E8"/>
    <w:rsid w:val="00B45141"/>
    <w:rsid w:val="00B5273A"/>
    <w:rsid w:val="00B62B50"/>
    <w:rsid w:val="00B635B7"/>
    <w:rsid w:val="00B63AE8"/>
    <w:rsid w:val="00B65950"/>
    <w:rsid w:val="00B672C0"/>
    <w:rsid w:val="00B75646"/>
    <w:rsid w:val="00B90729"/>
    <w:rsid w:val="00B907DA"/>
    <w:rsid w:val="00B950BC"/>
    <w:rsid w:val="00B9714C"/>
    <w:rsid w:val="00BA3F8D"/>
    <w:rsid w:val="00BA4845"/>
    <w:rsid w:val="00BB7A10"/>
    <w:rsid w:val="00BB7DBB"/>
    <w:rsid w:val="00BC7D4F"/>
    <w:rsid w:val="00BC7ED7"/>
    <w:rsid w:val="00BD2850"/>
    <w:rsid w:val="00BE28D2"/>
    <w:rsid w:val="00BF5F6F"/>
    <w:rsid w:val="00BF7F58"/>
    <w:rsid w:val="00C01381"/>
    <w:rsid w:val="00C079B8"/>
    <w:rsid w:val="00C123EA"/>
    <w:rsid w:val="00C125E4"/>
    <w:rsid w:val="00C12A49"/>
    <w:rsid w:val="00C133EE"/>
    <w:rsid w:val="00C27DE9"/>
    <w:rsid w:val="00C33388"/>
    <w:rsid w:val="00C3662A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B58"/>
    <w:rsid w:val="00CC0C72"/>
    <w:rsid w:val="00CC2BFD"/>
    <w:rsid w:val="00CD3476"/>
    <w:rsid w:val="00CD64DF"/>
    <w:rsid w:val="00CF2F50"/>
    <w:rsid w:val="00CF41DA"/>
    <w:rsid w:val="00D02919"/>
    <w:rsid w:val="00D04C61"/>
    <w:rsid w:val="00D0539B"/>
    <w:rsid w:val="00D05B8D"/>
    <w:rsid w:val="00D065A2"/>
    <w:rsid w:val="00D07F00"/>
    <w:rsid w:val="00D1790F"/>
    <w:rsid w:val="00D33E72"/>
    <w:rsid w:val="00D35BD6"/>
    <w:rsid w:val="00D361B5"/>
    <w:rsid w:val="00D411A2"/>
    <w:rsid w:val="00D50B9C"/>
    <w:rsid w:val="00D52D73"/>
    <w:rsid w:val="00D52E58"/>
    <w:rsid w:val="00D7031D"/>
    <w:rsid w:val="00D714CC"/>
    <w:rsid w:val="00D75EA7"/>
    <w:rsid w:val="00D81F21"/>
    <w:rsid w:val="00D95470"/>
    <w:rsid w:val="00DA2619"/>
    <w:rsid w:val="00DA4239"/>
    <w:rsid w:val="00DB0B61"/>
    <w:rsid w:val="00DC090B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4388"/>
    <w:rsid w:val="00E170DC"/>
    <w:rsid w:val="00E21842"/>
    <w:rsid w:val="00E26818"/>
    <w:rsid w:val="00E27FFC"/>
    <w:rsid w:val="00E30B15"/>
    <w:rsid w:val="00E40181"/>
    <w:rsid w:val="00E43426"/>
    <w:rsid w:val="00E45931"/>
    <w:rsid w:val="00E53A79"/>
    <w:rsid w:val="00E629A1"/>
    <w:rsid w:val="00E82C55"/>
    <w:rsid w:val="00E92AC3"/>
    <w:rsid w:val="00EB00E0"/>
    <w:rsid w:val="00EC059F"/>
    <w:rsid w:val="00EC1F24"/>
    <w:rsid w:val="00EC22F6"/>
    <w:rsid w:val="00EC4749"/>
    <w:rsid w:val="00ED5B9B"/>
    <w:rsid w:val="00ED6BAD"/>
    <w:rsid w:val="00ED7447"/>
    <w:rsid w:val="00ED79F1"/>
    <w:rsid w:val="00EE1488"/>
    <w:rsid w:val="00EE4D5D"/>
    <w:rsid w:val="00EE5131"/>
    <w:rsid w:val="00EF109B"/>
    <w:rsid w:val="00EF111F"/>
    <w:rsid w:val="00EF36AF"/>
    <w:rsid w:val="00F00F9C"/>
    <w:rsid w:val="00F02ABA"/>
    <w:rsid w:val="00F0437A"/>
    <w:rsid w:val="00F11037"/>
    <w:rsid w:val="00F16F1B"/>
    <w:rsid w:val="00F213F4"/>
    <w:rsid w:val="00F250A9"/>
    <w:rsid w:val="00F26794"/>
    <w:rsid w:val="00F30FF4"/>
    <w:rsid w:val="00F3122E"/>
    <w:rsid w:val="00F331AD"/>
    <w:rsid w:val="00F43A37"/>
    <w:rsid w:val="00F4641B"/>
    <w:rsid w:val="00F46EB8"/>
    <w:rsid w:val="00F511E4"/>
    <w:rsid w:val="00F52D09"/>
    <w:rsid w:val="00F52E08"/>
    <w:rsid w:val="00F55B21"/>
    <w:rsid w:val="00F56EF6"/>
    <w:rsid w:val="00F575C2"/>
    <w:rsid w:val="00F61A9F"/>
    <w:rsid w:val="00F64696"/>
    <w:rsid w:val="00F65AA9"/>
    <w:rsid w:val="00F668CA"/>
    <w:rsid w:val="00F6768F"/>
    <w:rsid w:val="00F725AE"/>
    <w:rsid w:val="00F72C2C"/>
    <w:rsid w:val="00F76CAB"/>
    <w:rsid w:val="00F772C6"/>
    <w:rsid w:val="00F85195"/>
    <w:rsid w:val="00F92503"/>
    <w:rsid w:val="00F938BA"/>
    <w:rsid w:val="00FA2C46"/>
    <w:rsid w:val="00FA6B67"/>
    <w:rsid w:val="00FB4CDA"/>
    <w:rsid w:val="00FC0F81"/>
    <w:rsid w:val="00FC395C"/>
    <w:rsid w:val="00FD3766"/>
    <w:rsid w:val="00FD47C4"/>
    <w:rsid w:val="00FD52A5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906898BE-7D1E-49A6-968B-666203977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1"/>
    <w:rsid w:val="005C0955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04B9C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04B9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D50032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04B9C"/>
    <w:rPr>
      <w:rFonts w:ascii="Arial" w:eastAsia="MS Gothic" w:hAnsi="Arial" w:cs="Arial"/>
      <w:bCs/>
      <w:color w:val="D5003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04B9C"/>
    <w:rPr>
      <w:rFonts w:ascii="Arial" w:hAnsi="Arial"/>
      <w:b/>
      <w:color w:val="D50032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  <w:pPr>
      <w:tabs>
        <w:tab w:val="right" w:pos="10206"/>
      </w:tabs>
    </w:pPr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AA5797"/>
    <w:pPr>
      <w:keepLines/>
      <w:tabs>
        <w:tab w:val="right" w:leader="dot" w:pos="9072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customStyle="1" w:styleId="DHHSfigurecaptionChar">
    <w:name w:val="DHHS figure caption Char"/>
    <w:link w:val="DHHSfigurecaption"/>
    <w:uiPriority w:val="4"/>
    <w:rsid w:val="00D0539B"/>
    <w:rPr>
      <w:rFonts w:ascii="Arial" w:hAnsi="Arial"/>
      <w:b/>
      <w:lang w:eastAsia="en-US"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04B9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04B9C"/>
    <w:rPr>
      <w:rFonts w:ascii="Arial" w:hAnsi="Arial"/>
      <w:b/>
      <w:color w:val="D50032"/>
      <w:sz w:val="28"/>
      <w:szCs w:val="28"/>
      <w:lang w:eastAsia="en-US"/>
    </w:rPr>
  </w:style>
  <w:style w:type="paragraph" w:styleId="TOC2">
    <w:name w:val="toc 2"/>
    <w:uiPriority w:val="39"/>
    <w:rsid w:val="00AA5797"/>
    <w:pPr>
      <w:keepLines/>
      <w:tabs>
        <w:tab w:val="right" w:leader="dot" w:pos="9072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F575C2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link w:val="DHHSfigurecaptionChar"/>
    <w:uiPriority w:val="4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styleId="Strong">
    <w:name w:val="Strong"/>
    <w:uiPriority w:val="22"/>
    <w:qFormat/>
    <w:rsid w:val="0048442F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EF111F"/>
    <w:pPr>
      <w:widowControl w:val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character" w:customStyle="1" w:styleId="BodyTextChar">
    <w:name w:val="Body Text Char"/>
    <w:basedOn w:val="DefaultParagraphFont"/>
    <w:link w:val="BodyText"/>
    <w:uiPriority w:val="1"/>
    <w:rsid w:val="00EF111F"/>
    <w:rPr>
      <w:rFonts w:ascii="Arial" w:eastAsia="Arial" w:hAnsi="Arial" w:cs="Arial"/>
      <w:sz w:val="18"/>
      <w:szCs w:val="18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EF111F"/>
    <w:pPr>
      <w:spacing w:after="200"/>
    </w:pPr>
    <w:rPr>
      <w:rFonts w:ascii="Calibri" w:eastAsia="Calibri" w:hAnsi="Calibri"/>
    </w:rPr>
  </w:style>
  <w:style w:type="paragraph" w:customStyle="1" w:styleId="DHHStablecolhead">
    <w:name w:val="DHHS table col head"/>
    <w:uiPriority w:val="3"/>
    <w:qFormat/>
    <w:rsid w:val="00C3662A"/>
    <w:pPr>
      <w:spacing w:before="80" w:after="60"/>
    </w:pPr>
    <w:rPr>
      <w:rFonts w:ascii="Arial" w:hAnsi="Arial"/>
      <w:b/>
      <w:color w:val="D50032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627DA7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11F"/>
    <w:rPr>
      <w:rFonts w:ascii="Calibri" w:eastAsia="Calibri" w:hAnsi="Calibri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4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4"/>
    <w:qFormat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4"/>
    <w:qFormat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4"/>
    <w:qFormat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4"/>
    <w:qFormat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4"/>
    <w:qFormat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3"/>
    <w:qFormat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7034E7"/>
    <w:pPr>
      <w:tabs>
        <w:tab w:val="right" w:pos="15139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8D2F4B"/>
  </w:style>
  <w:style w:type="paragraph" w:styleId="BalloonText">
    <w:name w:val="Balloon Text"/>
    <w:basedOn w:val="Normal"/>
    <w:link w:val="BalloonTextChar"/>
    <w:uiPriority w:val="99"/>
    <w:semiHidden/>
    <w:unhideWhenUsed/>
    <w:rsid w:val="0012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9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41A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ealthtranslations.vic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Landscape%2006%20Pink%2019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01FB-862E-4C42-8BEB-C1DDAB4C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Landscape 06 Pink 199.dot</Template>
  <TotalTime>3</TotalTime>
  <Pages>2</Pages>
  <Words>339</Words>
  <Characters>1885</Characters>
  <Application>Microsoft Office Word</Application>
  <DocSecurity>0</DocSecurity>
  <Lines>99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2221</CharactersWithSpaces>
  <SharedDoc>false</SharedDoc>
  <HyperlinkBase/>
  <HLinks>
    <vt:vector size="36" baseType="variant">
      <vt:variant>
        <vt:i4>2555941</vt:i4>
      </vt:variant>
      <vt:variant>
        <vt:i4>24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21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18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15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_Toc440620742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_Toc440620741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Iliopoulos (DHHS)</dc:creator>
  <cp:lastModifiedBy>Annarella Hardiman (DHHS)</cp:lastModifiedBy>
  <cp:revision>6</cp:revision>
  <cp:lastPrinted>2015-01-28T03:08:00Z</cp:lastPrinted>
  <dcterms:created xsi:type="dcterms:W3CDTF">2019-01-28T22:33:00Z</dcterms:created>
  <dcterms:modified xsi:type="dcterms:W3CDTF">2019-01-29T05:06:00Z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